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sz w:val="30"/>
          <w:szCs w:val="30"/>
        </w:rPr>
        <w:t>安徽省地方标准编制说明</w:t>
      </w:r>
    </w:p>
    <w:tbl>
      <w:tblPr>
        <w:tblStyle w:val="7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987"/>
        <w:gridCol w:w="3673"/>
        <w:gridCol w:w="1705"/>
        <w:gridCol w:w="1058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1" w:type="dxa"/>
            <w:gridSpan w:val="2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标准名称</w:t>
            </w:r>
          </w:p>
        </w:tc>
        <w:tc>
          <w:tcPr>
            <w:tcW w:w="7889" w:type="dxa"/>
            <w:gridSpan w:val="4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《长大桥梁养护指南第 8 部分：检修通道设置》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1" w:type="dxa"/>
            <w:gridSpan w:val="2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任务来源</w:t>
            </w:r>
          </w:p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（项目计划号）</w:t>
            </w:r>
          </w:p>
        </w:tc>
        <w:tc>
          <w:tcPr>
            <w:tcW w:w="7889" w:type="dxa"/>
            <w:gridSpan w:val="4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《安徽省市场监督管理局关于下达2023年第三批安徽省地方标准制修订计划的通知》（2023-3-105）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1" w:type="dxa"/>
            <w:gridSpan w:val="2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第一起草单位</w:t>
            </w:r>
          </w:p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（盖章）</w:t>
            </w:r>
          </w:p>
        </w:tc>
        <w:tc>
          <w:tcPr>
            <w:tcW w:w="7889" w:type="dxa"/>
            <w:gridSpan w:val="4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安徽省交通控股集团有限公司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1" w:type="dxa"/>
            <w:gridSpan w:val="2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单位地址</w:t>
            </w:r>
          </w:p>
        </w:tc>
        <w:tc>
          <w:tcPr>
            <w:tcW w:w="7889" w:type="dxa"/>
            <w:gridSpan w:val="4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安徽省合肥市望江西路520号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1" w:type="dxa"/>
            <w:gridSpan w:val="2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参与起草单位</w:t>
            </w:r>
          </w:p>
        </w:tc>
        <w:tc>
          <w:tcPr>
            <w:tcW w:w="7889" w:type="dxa"/>
            <w:gridSpan w:val="4"/>
            <w:vAlign w:val="center"/>
          </w:tcPr>
          <w:p>
            <w:pPr>
              <w:pStyle w:val="13"/>
              <w:adjustRightInd w:val="0"/>
              <w:ind w:left="0" w:leftChars="0" w:firstLine="0" w:firstLineChars="0"/>
              <w:contextualSpacing/>
              <w:rPr>
                <w:rFonts w:hint="default" w:asciiTheme="minorEastAsia" w:hAnsi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安徽皖通高速公路股份有限公司、安徽交控道路养护有限公司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标准起草人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序号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姓名</w:t>
            </w:r>
          </w:p>
        </w:tc>
        <w:tc>
          <w:tcPr>
            <w:tcW w:w="3673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单位</w:t>
            </w:r>
          </w:p>
        </w:tc>
        <w:tc>
          <w:tcPr>
            <w:tcW w:w="1705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职务</w:t>
            </w:r>
          </w:p>
        </w:tc>
        <w:tc>
          <w:tcPr>
            <w:tcW w:w="1058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职称</w:t>
            </w:r>
          </w:p>
        </w:tc>
        <w:tc>
          <w:tcPr>
            <w:tcW w:w="1453" w:type="dxa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  <w:lang w:eastAsia="zh-CN"/>
              </w:rPr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  <w:lang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jc w:val="center"/>
            </w:pPr>
          </w:p>
        </w:tc>
        <w:tc>
          <w:tcPr>
            <w:tcW w:w="1705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1453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</w:t>
            </w:r>
          </w:p>
        </w:tc>
        <w:tc>
          <w:tcPr>
            <w:tcW w:w="987" w:type="dxa"/>
            <w:vAlign w:val="center"/>
          </w:tcPr>
          <w:p>
            <w:pPr>
              <w:rPr>
                <w:rFonts w:hint="eastAsia" w:hAnsi="宋体"/>
                <w:szCs w:val="21"/>
                <w:lang w:eastAsia="zh-CN"/>
              </w:rPr>
            </w:pPr>
          </w:p>
        </w:tc>
        <w:tc>
          <w:tcPr>
            <w:tcW w:w="3673" w:type="dxa"/>
            <w:vAlign w:val="top"/>
          </w:tcPr>
          <w:p>
            <w:pPr>
              <w:ind w:firstLine="210" w:firstLineChars="100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default" w:hAnsi="宋体"/>
                <w:szCs w:val="21"/>
                <w:lang w:val="en-US" w:eastAsia="zh-CN"/>
              </w:rPr>
            </w:pPr>
          </w:p>
        </w:tc>
        <w:tc>
          <w:tcPr>
            <w:tcW w:w="1058" w:type="dxa"/>
            <w:vAlign w:val="center"/>
          </w:tcPr>
          <w:p>
            <w:pPr>
              <w:ind w:firstLine="210" w:firstLineChars="100"/>
              <w:rPr>
                <w:rFonts w:hint="eastAsia" w:hAnsi="宋体"/>
                <w:szCs w:val="21"/>
                <w:lang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rPr>
                <w:rFonts w:hint="default" w:hAnsi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5</w:t>
            </w:r>
          </w:p>
        </w:tc>
        <w:tc>
          <w:tcPr>
            <w:tcW w:w="987" w:type="dxa"/>
            <w:vAlign w:val="center"/>
          </w:tcPr>
          <w:p>
            <w:pPr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ind w:firstLine="630" w:firstLineChars="300"/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58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6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jc w:val="center"/>
            </w:pPr>
          </w:p>
        </w:tc>
        <w:tc>
          <w:tcPr>
            <w:tcW w:w="1705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1453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7</w:t>
            </w:r>
          </w:p>
        </w:tc>
        <w:tc>
          <w:tcPr>
            <w:tcW w:w="987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ind w:firstLine="420" w:firstLineChars="200"/>
            </w:pPr>
          </w:p>
        </w:tc>
        <w:tc>
          <w:tcPr>
            <w:tcW w:w="1705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58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3673" w:type="dxa"/>
            <w:vAlign w:val="center"/>
          </w:tcPr>
          <w:p>
            <w:pPr>
              <w:jc w:val="center"/>
            </w:pPr>
          </w:p>
        </w:tc>
        <w:tc>
          <w:tcPr>
            <w:tcW w:w="1705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  <w:tc>
          <w:tcPr>
            <w:tcW w:w="1058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13"/>
              <w:ind w:firstLine="0" w:firstLineChars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8</w:t>
            </w:r>
          </w:p>
        </w:tc>
        <w:tc>
          <w:tcPr>
            <w:tcW w:w="987" w:type="dxa"/>
            <w:vAlign w:val="center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3673" w:type="dxa"/>
            <w:vAlign w:val="center"/>
          </w:tcPr>
          <w:p>
            <w:pPr>
              <w:ind w:firstLine="420" w:firstLineChars="200"/>
            </w:pPr>
          </w:p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>
            <w:pPr>
              <w:ind w:firstLine="210" w:firstLineChars="10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9</w:t>
            </w:r>
          </w:p>
        </w:tc>
        <w:tc>
          <w:tcPr>
            <w:tcW w:w="987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3673" w:type="dxa"/>
          </w:tcPr>
          <w:p>
            <w:pPr>
              <w:ind w:firstLine="210" w:firstLineChars="100"/>
            </w:pPr>
          </w:p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>
            <w:pPr>
              <w:ind w:firstLine="210" w:firstLineChars="10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453" w:type="dxa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10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  <w:vAlign w:val="center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11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12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13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  <w:vAlign w:val="center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14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</w:rPr>
              <w:t>1</w:t>
            </w:r>
            <w:r>
              <w:rPr>
                <w:rFonts w:hint="eastAsia" w:hAnsi="宋体"/>
                <w:szCs w:val="21"/>
                <w:lang w:val="en-US" w:eastAsia="zh-CN"/>
              </w:rPr>
              <w:t>5</w:t>
            </w: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94" w:type="dxa"/>
            <w:vAlign w:val="center"/>
          </w:tcPr>
          <w:p>
            <w:pPr>
              <w:pStyle w:val="13"/>
              <w:ind w:firstLine="0" w:firstLineChars="0"/>
              <w:jc w:val="center"/>
              <w:rPr>
                <w:rFonts w:hint="eastAsia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/>
        </w:tc>
        <w:tc>
          <w:tcPr>
            <w:tcW w:w="3673" w:type="dxa"/>
          </w:tcPr>
          <w:p/>
        </w:tc>
        <w:tc>
          <w:tcPr>
            <w:tcW w:w="170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45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编制情况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1、编制过程简介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月，</w:t>
            </w:r>
            <w:r>
              <w:rPr>
                <w:rFonts w:hint="eastAsia" w:hAnsi="宋体"/>
                <w:szCs w:val="21"/>
              </w:rPr>
              <w:t>收到</w:t>
            </w:r>
            <w:r>
              <w:rPr>
                <w:rFonts w:hint="eastAsia" w:ascii="Times New Roman"/>
                <w:szCs w:val="24"/>
              </w:rPr>
              <w:t>安徽省市场监督管理局《关于下达</w:t>
            </w:r>
            <w:r>
              <w:rPr>
                <w:rFonts w:hint="eastAsia" w:ascii="Times New Roman"/>
                <w:szCs w:val="24"/>
                <w:lang w:eastAsia="zh-CN"/>
              </w:rPr>
              <w:t>202</w:t>
            </w:r>
            <w:r>
              <w:rPr>
                <w:rFonts w:hint="eastAsia" w:ascii="Times New Roman"/>
                <w:szCs w:val="24"/>
                <w:lang w:val="en-US" w:eastAsia="zh-CN"/>
              </w:rPr>
              <w:t>3</w:t>
            </w:r>
            <w:r>
              <w:rPr>
                <w:rFonts w:hint="eastAsia" w:ascii="Times New Roman"/>
                <w:szCs w:val="24"/>
              </w:rPr>
              <w:t>年第</w:t>
            </w:r>
            <w:r>
              <w:rPr>
                <w:rFonts w:hint="eastAsia" w:ascii="Times New Roman"/>
                <w:szCs w:val="24"/>
                <w:lang w:val="en-US" w:eastAsia="zh-CN"/>
              </w:rPr>
              <w:t>三</w:t>
            </w:r>
            <w:r>
              <w:rPr>
                <w:rFonts w:hint="eastAsia" w:ascii="Times New Roman"/>
                <w:szCs w:val="24"/>
              </w:rPr>
              <w:t>批安徽省地方标准制修订计划的</w:t>
            </w:r>
            <w:r>
              <w:rPr>
                <w:rFonts w:hint="eastAsia" w:ascii="Times New Roman"/>
                <w:szCs w:val="24"/>
                <w:lang w:val="en-US" w:eastAsia="zh-CN"/>
              </w:rPr>
              <w:t>通知</w:t>
            </w:r>
            <w:r>
              <w:rPr>
                <w:rFonts w:hint="eastAsia" w:ascii="Times New Roman"/>
                <w:szCs w:val="24"/>
              </w:rPr>
              <w:t>》（皖市监函〔</w:t>
            </w:r>
            <w:r>
              <w:rPr>
                <w:rFonts w:hint="eastAsia" w:ascii="Times New Roman"/>
                <w:szCs w:val="24"/>
                <w:lang w:eastAsia="zh-CN"/>
              </w:rPr>
              <w:t>202</w:t>
            </w:r>
            <w:r>
              <w:rPr>
                <w:rFonts w:hint="eastAsia" w:ascii="Times New Roman"/>
                <w:szCs w:val="24"/>
                <w:lang w:val="en-US" w:eastAsia="zh-CN"/>
              </w:rPr>
              <w:t>3</w:t>
            </w:r>
            <w:r>
              <w:rPr>
                <w:rFonts w:hint="eastAsia" w:ascii="Times New Roman"/>
                <w:szCs w:val="24"/>
              </w:rPr>
              <w:t>〕</w:t>
            </w:r>
            <w:r>
              <w:rPr>
                <w:rFonts w:hint="eastAsia" w:ascii="Times New Roman"/>
                <w:szCs w:val="24"/>
                <w:lang w:val="en-US" w:eastAsia="zh-CN"/>
              </w:rPr>
              <w:t>622</w:t>
            </w:r>
            <w:r>
              <w:rPr>
                <w:rFonts w:hint="eastAsia" w:ascii="Times New Roman"/>
                <w:szCs w:val="24"/>
              </w:rPr>
              <w:t>号）后，项目正式启动。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ascii="Times New Roman"/>
              </w:rPr>
            </w:pPr>
            <w:r>
              <w:rPr>
                <w:rFonts w:hint="eastAsia" w:hAnsi="宋体"/>
                <w:szCs w:val="21"/>
              </w:rPr>
              <w:t>标</w:t>
            </w:r>
            <w:r>
              <w:rPr>
                <w:rFonts w:hint="eastAsia" w:ascii="Times New Roman"/>
                <w:szCs w:val="24"/>
              </w:rPr>
              <w:t>准起草过程：</w:t>
            </w:r>
            <w:r>
              <w:rPr>
                <w:rFonts w:hint="eastAsia" w:ascii="Times New Roman"/>
                <w:szCs w:val="24"/>
                <w:lang w:eastAsia="zh-CN"/>
              </w:rPr>
              <w:t>202</w:t>
            </w:r>
            <w:r>
              <w:rPr>
                <w:rFonts w:hint="eastAsia" w:ascii="Times New Roman"/>
                <w:szCs w:val="24"/>
                <w:lang w:val="en-US" w:eastAsia="zh-CN"/>
              </w:rPr>
              <w:t>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01</w:t>
            </w:r>
            <w:r>
              <w:rPr>
                <w:rFonts w:hint="eastAsia" w:ascii="Times New Roman"/>
                <w:szCs w:val="24"/>
              </w:rPr>
              <w:t>月安徽省交通控股集团有限公司成立标准编制小组，</w:t>
            </w:r>
            <w:r>
              <w:rPr>
                <w:rFonts w:hint="eastAsia" w:ascii="Times New Roman"/>
                <w:szCs w:val="24"/>
                <w:lang w:eastAsia="zh-CN"/>
              </w:rPr>
              <w:t>202</w:t>
            </w:r>
            <w:r>
              <w:rPr>
                <w:rFonts w:hint="eastAsia" w:ascii="Times New Roman"/>
                <w:szCs w:val="24"/>
                <w:lang w:val="en-US" w:eastAsia="zh-CN"/>
              </w:rPr>
              <w:t>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01</w:t>
            </w:r>
            <w:r>
              <w:rPr>
                <w:rFonts w:hint="eastAsia" w:ascii="Times New Roman"/>
                <w:szCs w:val="24"/>
              </w:rPr>
              <w:t>月-</w:t>
            </w:r>
            <w:r>
              <w:rPr>
                <w:rFonts w:hint="eastAsia" w:ascii="Times New Roman"/>
                <w:szCs w:val="24"/>
                <w:lang w:eastAsia="zh-CN"/>
              </w:rPr>
              <w:t>2024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04</w:t>
            </w:r>
            <w:r>
              <w:rPr>
                <w:rFonts w:hint="eastAsia" w:ascii="Times New Roman"/>
                <w:szCs w:val="24"/>
              </w:rPr>
              <w:t>月标准编制小组组织调研，</w:t>
            </w:r>
            <w:r>
              <w:rPr>
                <w:rFonts w:hint="eastAsia" w:ascii="Times New Roman"/>
                <w:szCs w:val="24"/>
                <w:lang w:eastAsia="zh-CN"/>
              </w:rPr>
              <w:t>2024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05</w:t>
            </w:r>
            <w:r>
              <w:rPr>
                <w:rFonts w:hint="eastAsia" w:ascii="Times New Roman"/>
                <w:szCs w:val="24"/>
              </w:rPr>
              <w:t>月-</w:t>
            </w:r>
            <w:r>
              <w:rPr>
                <w:rFonts w:hint="eastAsia" w:ascii="Times New Roman"/>
                <w:szCs w:val="24"/>
                <w:lang w:val="en-US" w:eastAsia="zh-CN"/>
              </w:rPr>
              <w:t>07</w:t>
            </w:r>
            <w:r>
              <w:rPr>
                <w:rFonts w:hint="eastAsia" w:ascii="Times New Roman"/>
                <w:szCs w:val="24"/>
              </w:rPr>
              <w:t>月底完成初稿；</w:t>
            </w:r>
            <w:r>
              <w:rPr>
                <w:rFonts w:hint="eastAsia" w:ascii="Times New Roman"/>
                <w:szCs w:val="24"/>
                <w:lang w:eastAsia="zh-CN"/>
              </w:rPr>
              <w:t>2024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08</w:t>
            </w:r>
            <w:r>
              <w:rPr>
                <w:rFonts w:hint="eastAsia" w:ascii="Times New Roman"/>
                <w:szCs w:val="24"/>
              </w:rPr>
              <w:t>月-</w:t>
            </w:r>
            <w:r>
              <w:rPr>
                <w:rFonts w:hint="eastAsia" w:ascii="Times New Roman"/>
                <w:szCs w:val="24"/>
                <w:lang w:val="en-US" w:eastAsia="zh-CN"/>
              </w:rPr>
              <w:t>09</w:t>
            </w:r>
            <w:r>
              <w:rPr>
                <w:rFonts w:hint="eastAsia" w:ascii="Times New Roman"/>
                <w:szCs w:val="24"/>
              </w:rPr>
              <w:t>月组织多次内部讨论，并结合监测项目进行验证，修改完善内部讨论稿；</w:t>
            </w:r>
            <w:r>
              <w:rPr>
                <w:rFonts w:hint="eastAsia" w:ascii="Times New Roman"/>
                <w:szCs w:val="24"/>
                <w:lang w:eastAsia="zh-CN"/>
              </w:rPr>
              <w:t>2024</w:t>
            </w:r>
            <w:r>
              <w:rPr>
                <w:rFonts w:hint="eastAsia" w:ascii="Times New Roman"/>
                <w:szCs w:val="24"/>
              </w:rPr>
              <w:t>年</w:t>
            </w:r>
            <w:r>
              <w:rPr>
                <w:rFonts w:hint="eastAsia" w:ascii="Times New Roman"/>
                <w:szCs w:val="24"/>
                <w:lang w:val="en-US" w:eastAsia="zh-CN"/>
              </w:rPr>
              <w:t>10</w:t>
            </w:r>
            <w:r>
              <w:rPr>
                <w:rFonts w:hint="eastAsia" w:ascii="Times New Roman"/>
                <w:szCs w:val="24"/>
              </w:rPr>
              <w:t>月进一步修改完善，形成征求意见稿初</w:t>
            </w:r>
            <w:r>
              <w:rPr>
                <w:rFonts w:hint="eastAsia" w:ascii="Times New Roman"/>
                <w:szCs w:val="24"/>
                <w:lang w:eastAsia="zh-CN"/>
              </w:rPr>
              <w:t>稿；</w:t>
            </w:r>
            <w:r>
              <w:rPr>
                <w:rFonts w:hint="eastAsia" w:ascii="Times New Roman"/>
                <w:szCs w:val="24"/>
                <w:lang w:eastAsia="zh-CN"/>
              </w:rPr>
              <w:t>2024年</w:t>
            </w:r>
            <w:r>
              <w:rPr>
                <w:rFonts w:hint="eastAsia" w:ascii="Times New Roman"/>
                <w:szCs w:val="24"/>
                <w:lang w:val="en-US" w:eastAsia="zh-CN"/>
              </w:rPr>
              <w:t>10</w:t>
            </w:r>
            <w:r>
              <w:rPr>
                <w:rFonts w:hint="eastAsia" w:ascii="Times New Roman"/>
                <w:szCs w:val="24"/>
                <w:lang w:eastAsia="zh-CN"/>
              </w:rPr>
              <w:t>月组织召开地方标准征求意见稿</w:t>
            </w:r>
            <w:r>
              <w:rPr>
                <w:rFonts w:hint="eastAsia" w:ascii="Times New Roman"/>
                <w:szCs w:val="24"/>
                <w:lang w:val="en-US" w:eastAsia="zh-CN"/>
              </w:rPr>
              <w:t>草案审查会</w:t>
            </w:r>
            <w:r>
              <w:rPr>
                <w:rFonts w:hint="eastAsia" w:ascii="Times New Roman"/>
                <w:szCs w:val="24"/>
                <w:lang w:eastAsia="zh-CN"/>
              </w:rPr>
              <w:t>，根据专家的意见完善征求意见稿。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2、制定标准的必要性和意义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spacing w:line="360" w:lineRule="auto"/>
              <w:contextualSpacing/>
              <w:rPr>
                <w:rFonts w:hint="eastAsia"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本标准编制的必要性：</w:t>
            </w:r>
            <w:bookmarkStart w:id="30" w:name="_GoBack"/>
            <w:bookmarkEnd w:id="30"/>
          </w:p>
          <w:p>
            <w:pPr>
              <w:pStyle w:val="13"/>
              <w:spacing w:line="360" w:lineRule="auto"/>
              <w:contextualSpacing/>
              <w:rPr>
                <w:rFonts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现有规范缺少对</w:t>
            </w:r>
            <w:r>
              <w:rPr>
                <w:rFonts w:hint="eastAsia"/>
                <w:lang w:val="en-US" w:eastAsia="zh-CN"/>
              </w:rPr>
              <w:t>检修通道设置的细化阐述</w:t>
            </w:r>
            <w:r>
              <w:rPr>
                <w:rFonts w:hint="eastAsia" w:ascii="Times New Roman"/>
                <w:szCs w:val="24"/>
              </w:rPr>
              <w:t>。</w:t>
            </w:r>
          </w:p>
          <w:p>
            <w:pPr>
              <w:pStyle w:val="13"/>
              <w:spacing w:line="360" w:lineRule="auto"/>
              <w:contextualSpacing/>
              <w:rPr>
                <w:rFonts w:hint="eastAsia" w:ascii="Times New Roman"/>
                <w:szCs w:val="24"/>
              </w:rPr>
            </w:pPr>
            <w:r>
              <w:rPr>
                <w:rFonts w:hint="eastAsia" w:ascii="Times New Roman"/>
                <w:szCs w:val="24"/>
              </w:rPr>
              <w:t>本标准编制的意义：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="Times New Roman"/>
                <w:szCs w:val="24"/>
              </w:rPr>
              <w:t>为</w:t>
            </w:r>
            <w:r>
              <w:rPr>
                <w:rFonts w:hint="eastAsia"/>
                <w:lang w:val="en-US" w:eastAsia="zh-CN"/>
              </w:rPr>
              <w:t>检修通道设置及管理维护</w:t>
            </w:r>
            <w:r>
              <w:rPr>
                <w:rFonts w:hint="eastAsia"/>
              </w:rPr>
              <w:t>工作提供指导依据，</w:t>
            </w:r>
            <w:r>
              <w:rPr>
                <w:rFonts w:hint="eastAsia" w:ascii="Times New Roman"/>
                <w:szCs w:val="24"/>
              </w:rPr>
              <w:t>提高长大桥梁管养水平。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3、制定标准的原则和依据，与现行法律法规、标准的关系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本标准是在充分调研了省内外长大桥梁</w:t>
            </w:r>
            <w:r>
              <w:rPr>
                <w:rFonts w:hint="eastAsia"/>
                <w:lang w:val="en-US" w:eastAsia="zh-CN"/>
              </w:rPr>
              <w:t>检修通道设置、维护</w:t>
            </w:r>
            <w:r>
              <w:rPr>
                <w:rFonts w:hint="eastAsia"/>
              </w:rPr>
              <w:t>的基础上制定，并参考了部分国家</w:t>
            </w:r>
            <w:r>
              <w:t>行业</w:t>
            </w:r>
            <w:r>
              <w:rPr>
                <w:rFonts w:hint="eastAsia"/>
              </w:rPr>
              <w:t>标准。标准的制定既充分考虑了现有相关标准</w:t>
            </w:r>
            <w:r>
              <w:t>内容</w:t>
            </w:r>
            <w:r>
              <w:rPr>
                <w:rFonts w:hint="eastAsia"/>
              </w:rPr>
              <w:t>，同时</w:t>
            </w:r>
            <w:r>
              <w:t>对</w:t>
            </w:r>
            <w:r>
              <w:rPr>
                <w:rFonts w:hint="eastAsia"/>
              </w:rPr>
              <w:t>长大桥梁</w:t>
            </w:r>
            <w:r>
              <w:rPr>
                <w:rFonts w:hint="eastAsia"/>
                <w:lang w:val="en-US" w:eastAsia="zh-CN"/>
              </w:rPr>
              <w:t>检修通道设置、维护</w:t>
            </w:r>
            <w:r>
              <w:t>等内容</w:t>
            </w:r>
            <w:r>
              <w:rPr>
                <w:rFonts w:hint="eastAsia"/>
              </w:rPr>
              <w:t>进行</w:t>
            </w:r>
            <w:r>
              <w:t>了</w:t>
            </w:r>
            <w:r>
              <w:rPr>
                <w:rFonts w:hint="eastAsia"/>
              </w:rPr>
              <w:t>补充。本标准在制定上，引用了部分有关联内容的国家行业标准，是对现有国家行业标准的重要补充。</w:t>
            </w:r>
          </w:p>
          <w:p>
            <w:pPr>
              <w:spacing w:line="360" w:lineRule="auto"/>
              <w:ind w:firstLine="420" w:firstLineChars="200"/>
              <w:rPr>
                <w:rFonts w:ascii="宋体" w:hAnsi="Times New Roman"/>
                <w:kern w:val="0"/>
                <w:szCs w:val="20"/>
              </w:rPr>
            </w:pPr>
            <w:r>
              <w:rPr>
                <w:rFonts w:hint="eastAsia"/>
              </w:rPr>
              <w:t>本标准与现行相关法律、法规、规章及相关标准协调一致。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4、主要条款的说明，主要技术指标、参数、试验验证的论述（</w:t>
            </w:r>
            <w:r>
              <w:rPr>
                <w:rFonts w:hint="eastAsia" w:hAnsi="宋体"/>
                <w:b/>
                <w:szCs w:val="21"/>
              </w:rPr>
              <w:t>详细说明</w:t>
            </w:r>
            <w:r>
              <w:rPr>
                <w:rFonts w:hint="eastAsia" w:hAnsi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400" w:lineRule="atLeast"/>
              <w:ind w:firstLine="0" w:firstLineChars="0"/>
              <w:contextualSpacing/>
              <w:rPr>
                <w:rFonts w:ascii="Calibri" w:hAnsi="Calibri"/>
                <w:kern w:val="2"/>
                <w:szCs w:val="21"/>
              </w:rPr>
            </w:pPr>
            <w:r>
              <w:rPr>
                <w:rFonts w:hint="eastAsia" w:ascii="Calibri" w:hAnsi="Calibri"/>
                <w:kern w:val="2"/>
                <w:szCs w:val="21"/>
              </w:rPr>
              <w:t>主要条款：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ascii="Calibri" w:hAnsi="Calibri"/>
                <w:kern w:val="2"/>
                <w:szCs w:val="21"/>
              </w:rPr>
            </w:pPr>
            <w:r>
              <w:rPr>
                <w:rFonts w:hint="eastAsia" w:ascii="Calibri" w:hAnsi="Calibri"/>
                <w:kern w:val="2"/>
                <w:szCs w:val="21"/>
              </w:rPr>
              <w:t>1、本标准的章节由：范围、规范性引用文件、术语和定义、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基本要求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设置要求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构造要求及维护管理</w:t>
            </w:r>
            <w:r>
              <w:rPr>
                <w:rFonts w:hint="eastAsia" w:ascii="Calibri" w:hAnsi="Calibri"/>
                <w:kern w:val="2"/>
                <w:szCs w:val="21"/>
              </w:rPr>
              <w:t>组成。其中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基本要求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设置要求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构造要求及维护管理</w:t>
            </w:r>
            <w:r>
              <w:rPr>
                <w:rFonts w:hint="eastAsia" w:ascii="Calibri" w:hAnsi="Calibri"/>
                <w:kern w:val="2"/>
                <w:szCs w:val="21"/>
              </w:rPr>
              <w:t>是本标准的主要技术内容。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 w:eastAsia="宋体"/>
                <w:kern w:val="2"/>
                <w:szCs w:val="21"/>
                <w:lang w:eastAsia="zh-CN"/>
              </w:rPr>
            </w:pPr>
            <w:r>
              <w:rPr>
                <w:rFonts w:hint="eastAsia" w:ascii="Calibri" w:hAnsi="Calibri"/>
                <w:kern w:val="2"/>
                <w:szCs w:val="21"/>
              </w:rPr>
              <w:t>2、本标准</w:t>
            </w:r>
            <w:r>
              <w:rPr>
                <w:rFonts w:hint="eastAsia" w:asciiTheme="minorEastAsia" w:hAnsiTheme="minorEastAsia"/>
                <w:szCs w:val="21"/>
              </w:rPr>
              <w:t>件</w:t>
            </w:r>
            <w:r>
              <w:rPr>
                <w:rFonts w:asciiTheme="minorEastAsia" w:hAnsiTheme="minorEastAsia"/>
                <w:szCs w:val="21"/>
              </w:rPr>
              <w:t>规</w:t>
            </w:r>
            <w:r>
              <w:rPr>
                <w:rFonts w:hint="eastAsia" w:asciiTheme="minorEastAsia" w:hAnsiTheme="minorEastAsia"/>
                <w:szCs w:val="21"/>
              </w:rPr>
              <w:t>定了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养护检修通道的基本要求</w:t>
            </w:r>
            <w:r>
              <w:rPr>
                <w:rFonts w:hint="eastAsia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设置要求</w:t>
            </w:r>
            <w:r>
              <w:rPr>
                <w:rFonts w:hint="eastAsia" w:asciiTheme="minorEastAsia" w:hAnsiTheme="minorEastAsia"/>
                <w:szCs w:val="21"/>
              </w:rPr>
              <w:t>、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构造要求及维护管理</w:t>
            </w:r>
            <w:r>
              <w:rPr>
                <w:rFonts w:hint="eastAsia" w:asciiTheme="minorEastAsia" w:hAnsiTheme="minorEastAsia"/>
                <w:szCs w:val="21"/>
              </w:rPr>
              <w:t>等内容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</w:rPr>
            </w:pPr>
            <w:r>
              <w:rPr>
                <w:rFonts w:hint="eastAsia" w:ascii="Calibri" w:hAnsi="Calibri"/>
                <w:kern w:val="2"/>
                <w:szCs w:val="21"/>
              </w:rPr>
              <w:t>3、主要</w:t>
            </w:r>
            <w:r>
              <w:rPr>
                <w:rFonts w:ascii="Calibri" w:hAnsi="Calibri"/>
                <w:kern w:val="2"/>
                <w:szCs w:val="21"/>
              </w:rPr>
              <w:t>技术指标</w:t>
            </w:r>
            <w:r>
              <w:rPr>
                <w:rFonts w:hint="eastAsia" w:ascii="Calibri" w:hAnsi="Calibri"/>
                <w:kern w:val="2"/>
                <w:szCs w:val="21"/>
              </w:rPr>
              <w:t>方面</w:t>
            </w:r>
            <w:r>
              <w:rPr>
                <w:rFonts w:ascii="Calibri" w:hAnsi="Calibri"/>
                <w:kern w:val="2"/>
                <w:szCs w:val="21"/>
              </w:rPr>
              <w:t>明确了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养护检修通道的基本要求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设置要求</w:t>
            </w:r>
            <w:r>
              <w:rPr>
                <w:rFonts w:hint="eastAsia" w:ascii="Calibri" w:hAnsi="Calibri"/>
                <w:kern w:val="2"/>
                <w:szCs w:val="21"/>
              </w:rPr>
              <w:t>、</w:t>
            </w: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构造要求及维护管理要求</w:t>
            </w:r>
            <w:r>
              <w:rPr>
                <w:rFonts w:hint="eastAsia" w:ascii="Calibri" w:hAnsi="Calibri"/>
                <w:kern w:val="2"/>
                <w:szCs w:val="21"/>
              </w:rPr>
              <w:t>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 w:eastAsia="宋体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4、本标准条款4.2对检修通道的设置分类做出如下规定：检修通道根据形式分为固定式检修通道和活动式检修通道；检修通道根据设置部位可分为：墩柱检修通道、梁外检修通道、梁内检修通道、塔内检修通道、锚室检修通道、拱肋检修通道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5、本标准条款6.2.2对墩柱检修通道的空间要求做出如下规定：墩柱检修通道的检修平台内行人净空按矩形控制，净高不宜小于1.5m，净宽不宜小于0.7m。防护栏杆高度不应小于1.2m。墩柱检修通道的梯道应设置护笼，护笼空隙边长均不大于0.6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6、本标准条款6.2.3对墩柱检修通道的荷载要求做出如下规定：墩柱检修通道的梯道和检修平台应能满足不少于5名养护人员携带300kg设备同时攀爬和作业。检修平台进入梁底人孔的延伸梯道应能满足不少于2名养护人员携带300kg设备同时攀爬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7、本标准条款6.3.2对梁外检修通道的空间要求做出如下规定：梁外检修通道的检修平台行人净空高度不宜小于1.8米，净宽度不宜小于0.7米。梁外检修通道应设置防护栏杆，且栏杆的高度不宜小于1.2米。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8、本标准条款6.3.3对梁外检修通道的荷载要求做出如下规定：梯道和检修平台应能满足不少于3名养护人员携带300kg设备同时攀爬和作业。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9、本标准条款6.4.2对梁内检修通道的空间要求做出如下规定：梁端人孔直径不宜小于0.8 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10、本标准条款6.4.3对梁内检修通道的荷载要求做出如下规定：梁内检修通道的梯道和检修平台应能满足不少于3名养护人员携带200kg设备同时攀爬和作业。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11、本标准条款6.5.2对塔内检修通道的空间要求做出如下规定：塔内检修通道的平台短边尺寸不宜小于1.5米，梯道宽度不宜小于0.6米，护栏高度不小于1.2m。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12、本标准条款6.5.3对塔内检修通道的荷载要求做出如下规定：塔内检修通道的梯道和检修平台应能满足不少于3名养护人员携带200kg设备同时攀爬和作业。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13、本标准条款6.6.2对锚室检修通道的空间要求做出如下规定：锚室检修通道的梯道宽度不宜小于0.7米。锚室检修通道的检修平台净宽不宜小于1.5m。防护栏杆高度不宜小于1.2m。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14、本标准条款6.6.3对锚室检修通道的荷载要求做出如下规定：锚室检修通道的梯道和检修平台应能满足不少于5名养护人员携带300kg设备同时攀爬和作业。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15、本标准条款6.7.2对主缆检修通道的空间要求做出如下规定：主缆检修通道的防护栏杆不宜低于1.2m。主缆检修通道的扶手距主缆顶面不小于1.5m。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eastAsia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16、本标准条款6.8.2对拱肋检修通道的空间要求做出如下规定：拱顶通道宽度不宜小于0.8m，栏杆高度不宜小于1.2m。拱脚平台短边宽度不宜小于2.0m。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hint="default" w:ascii="Calibri" w:hAnsi="Calibri"/>
                <w:kern w:val="2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17、本标准条款6.8.3对拱肋检修通道的荷载要求做出如下规定：拱肋检修通道的梯道和平台应能满足不少于3名养护人员携带300kg设备同时攀爬和作业的要求。</w:t>
            </w:r>
          </w:p>
          <w:p>
            <w:pPr>
              <w:pStyle w:val="13"/>
              <w:adjustRightInd w:val="0"/>
              <w:spacing w:line="400" w:lineRule="atLeast"/>
              <w:contextualSpacing/>
              <w:rPr>
                <w:rFonts w:ascii="Calibri" w:hAnsi="Calibri"/>
                <w:kern w:val="2"/>
                <w:szCs w:val="21"/>
              </w:rPr>
            </w:pPr>
            <w:r>
              <w:rPr>
                <w:rFonts w:hint="eastAsia" w:ascii="Calibri" w:hAnsi="Calibri"/>
                <w:kern w:val="2"/>
                <w:szCs w:val="21"/>
                <w:lang w:val="en-US" w:eastAsia="zh-CN"/>
              </w:rPr>
              <w:t>18、本标准条款7.1.3对检修通道维护频率做出如下规定：检修通道应定期维护，每半年一次，保持良好状态。对于长期未使用的检修通道，在使用前应根据安全需要进行严格的检查、养护。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0" w:name="_Toc464905557"/>
            <w:bookmarkStart w:id="1" w:name="_Toc464905613"/>
            <w:bookmarkStart w:id="2" w:name="_Toc464902852"/>
            <w:bookmarkStart w:id="3" w:name="_Toc464905809"/>
            <w:bookmarkStart w:id="4" w:name="_Toc465074266"/>
            <w:r>
              <w:rPr>
                <w:rFonts w:hint="eastAsia" w:hAnsi="宋体"/>
                <w:szCs w:val="21"/>
              </w:rPr>
              <w:t>5、标准中如果涉及专利，应有明确的知识产权说明</w:t>
            </w:r>
            <w:bookmarkEnd w:id="0"/>
            <w:bookmarkEnd w:id="1"/>
            <w:bookmarkEnd w:id="2"/>
            <w:bookmarkEnd w:id="3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本标准未涉及专利。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5" w:name="_Toc465074267"/>
            <w:bookmarkStart w:id="6" w:name="_Toc464905614"/>
            <w:bookmarkStart w:id="7" w:name="_Toc464905558"/>
            <w:bookmarkStart w:id="8" w:name="_Toc464902853"/>
            <w:bookmarkStart w:id="9" w:name="_Toc464905810"/>
            <w:r>
              <w:rPr>
                <w:rFonts w:hint="eastAsia" w:hAnsi="宋体"/>
                <w:szCs w:val="21"/>
              </w:rPr>
              <w:t>6、采用国际标准或国外先进标准的，说明采标程度，以及国内外同类标准水平的对比情况</w:t>
            </w:r>
            <w:bookmarkEnd w:id="5"/>
            <w:bookmarkEnd w:id="6"/>
            <w:bookmarkEnd w:id="7"/>
            <w:bookmarkEnd w:id="8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本标准未采用国际标准或国外先进标准。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0" w:name="_Toc464905559"/>
            <w:bookmarkStart w:id="11" w:name="_Toc464902854"/>
            <w:bookmarkStart w:id="12" w:name="_Toc464905811"/>
            <w:bookmarkStart w:id="13" w:name="_Toc465074268"/>
            <w:bookmarkStart w:id="14" w:name="_Toc464905615"/>
            <w:r>
              <w:rPr>
                <w:rFonts w:hint="eastAsia" w:hAnsi="宋体"/>
                <w:szCs w:val="21"/>
              </w:rPr>
              <w:t>7、重大分歧意见的处理经过和依据</w:t>
            </w:r>
            <w:bookmarkEnd w:id="10"/>
            <w:bookmarkEnd w:id="11"/>
            <w:bookmarkEnd w:id="12"/>
            <w:bookmarkEnd w:id="13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本标准在编制过程中没有重大意见分歧。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15" w:name="_Toc465074269"/>
            <w:bookmarkStart w:id="16" w:name="_Toc464905560"/>
            <w:bookmarkStart w:id="17" w:name="_Toc464905616"/>
            <w:bookmarkStart w:id="18" w:name="_Toc464902855"/>
            <w:bookmarkStart w:id="19" w:name="_Toc464905812"/>
            <w:r>
              <w:rPr>
                <w:rFonts w:hint="eastAsia" w:hAnsi="宋体"/>
                <w:szCs w:val="21"/>
              </w:rPr>
              <w:t>8、贯彻标准的要求和措施建议（包括组织措施、技术措施、过渡办法、实施日期等）</w:t>
            </w:r>
            <w:bookmarkEnd w:id="15"/>
            <w:bookmarkEnd w:id="16"/>
            <w:bookmarkEnd w:id="17"/>
            <w:bookmarkEnd w:id="18"/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5"/>
              <w:spacing w:before="23" w:line="278" w:lineRule="auto"/>
              <w:ind w:left="107" w:right="205" w:firstLine="420"/>
              <w:rPr>
                <w:sz w:val="21"/>
              </w:rPr>
            </w:pPr>
            <w:r>
              <w:rPr>
                <w:sz w:val="21"/>
              </w:rPr>
              <w:t>为了加强标准的指导作用，标准发布后，应大力宣传推广，贯彻落实标准的实施。同时，为推</w:t>
            </w:r>
            <w:r>
              <w:rPr>
                <w:spacing w:val="-18"/>
                <w:sz w:val="21"/>
              </w:rPr>
              <w:t>广</w:t>
            </w:r>
            <w:r>
              <w:rPr>
                <w:sz w:val="21"/>
              </w:rPr>
              <w:t>和实施本标准，可以采取如下一些具体措施：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（1）由技术归口单位牵头，负责标准宣贯；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（2）结合标准化建设，推动和全面实施标准的培训工作；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（3）标准起草工作组应继续开展研究，改进和完善标准的相关内容；</w:t>
            </w:r>
          </w:p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（4）加强与全国其他省市相关单位的交流合作，积极收集外省市的先进意见，争取提升为国家标准或行业标准，使我省的工作经验与全国分享，使标准化经验影响范围更广泛。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0" w:name="_Toc464902856"/>
            <w:bookmarkStart w:id="21" w:name="_Toc464905561"/>
            <w:bookmarkStart w:id="22" w:name="_Toc464905617"/>
            <w:bookmarkStart w:id="23" w:name="_Toc464905813"/>
            <w:bookmarkStart w:id="24" w:name="_Toc465074270"/>
            <w:r>
              <w:rPr>
                <w:rFonts w:hint="eastAsia" w:hAnsi="宋体"/>
                <w:szCs w:val="21"/>
              </w:rPr>
              <w:t>9、废止现行相关标准的建议</w:t>
            </w:r>
            <w:bookmarkEnd w:id="20"/>
            <w:bookmarkEnd w:id="21"/>
            <w:bookmarkEnd w:id="22"/>
            <w:bookmarkEnd w:id="23"/>
            <w:bookmarkEnd w:id="2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contextualSpacing/>
              <w:rPr>
                <w:rFonts w:hAnsi="宋体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pStyle w:val="13"/>
              <w:adjustRightInd w:val="0"/>
              <w:spacing w:line="360" w:lineRule="auto"/>
              <w:ind w:firstLine="0" w:firstLineChars="0"/>
              <w:contextualSpacing/>
              <w:rPr>
                <w:rFonts w:hAnsi="宋体"/>
                <w:szCs w:val="21"/>
              </w:rPr>
            </w:pPr>
            <w:bookmarkStart w:id="25" w:name="_Toc464902857"/>
            <w:bookmarkStart w:id="26" w:name="_Toc465074271"/>
            <w:bookmarkStart w:id="27" w:name="_Toc464905562"/>
            <w:bookmarkStart w:id="28" w:name="_Toc464905814"/>
            <w:bookmarkStart w:id="29" w:name="_Toc464905618"/>
            <w:r>
              <w:rPr>
                <w:rFonts w:hint="eastAsia" w:hAnsi="宋体"/>
                <w:szCs w:val="21"/>
              </w:rPr>
              <w:t>10、其它应予说明的事项</w:t>
            </w:r>
            <w:bookmarkEnd w:id="25"/>
            <w:bookmarkEnd w:id="26"/>
            <w:bookmarkEnd w:id="27"/>
            <w:bookmarkEnd w:id="28"/>
            <w:bookmarkEnd w:id="2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570" w:type="dxa"/>
            <w:gridSpan w:val="6"/>
            <w:vAlign w:val="center"/>
          </w:tcPr>
          <w:p>
            <w:pPr>
              <w:ind w:firstLine="420" w:firstLineChars="200"/>
              <w:rPr>
                <w:rFonts w:hAnsi="宋体"/>
              </w:rPr>
            </w:pPr>
            <w:r>
              <w:rPr>
                <w:rFonts w:hint="eastAsia" w:asciiTheme="minorEastAsia" w:hAnsiTheme="minorEastAsia"/>
              </w:rPr>
              <w:t>无</w:t>
            </w:r>
          </w:p>
        </w:tc>
      </w:tr>
    </w:tbl>
    <w:p>
      <w:pPr>
        <w:pStyle w:val="14"/>
      </w:pPr>
      <w:r>
        <w:rPr>
          <w:rFonts w:hint="eastAsia"/>
        </w:rPr>
        <w:t>没有的请填写 “无”。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_x0003_...销.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C50F90"/>
    <w:multiLevelType w:val="multilevel"/>
    <w:tmpl w:val="44C50F90"/>
    <w:lvl w:ilvl="0" w:tentative="0">
      <w:start w:val="1"/>
      <w:numFmt w:val="lowerLetter"/>
      <w:pStyle w:val="21"/>
      <w:lvlText w:val="%1）"/>
      <w:lvlJc w:val="left"/>
      <w:pPr>
        <w:tabs>
          <w:tab w:val="left" w:pos="851"/>
        </w:tabs>
        <w:ind w:left="851" w:hanging="426"/>
      </w:pPr>
      <w:rPr>
        <w:rFonts w:hint="default"/>
        <w:sz w:val="21"/>
      </w:rPr>
    </w:lvl>
    <w:lvl w:ilvl="1" w:tentative="0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">
    <w:nsid w:val="657D3FBC"/>
    <w:multiLevelType w:val="multilevel"/>
    <w:tmpl w:val="657D3FBC"/>
    <w:lvl w:ilvl="0" w:tentative="0">
      <w:start w:val="1"/>
      <w:numFmt w:val="upperLetter"/>
      <w:pStyle w:val="11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20"/>
      <w:suff w:val="nothing"/>
      <w:lvlText w:val="%1%2.%3.%4　"/>
      <w:lvlJc w:val="left"/>
      <w:pPr>
        <w:ind w:left="241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6DBF04F4"/>
    <w:multiLevelType w:val="multilevel"/>
    <w:tmpl w:val="6DBF04F4"/>
    <w:lvl w:ilvl="0" w:tentative="0">
      <w:start w:val="1"/>
      <w:numFmt w:val="none"/>
      <w:pStyle w:val="14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ZjOWJkMWYyNzIzMTNiYjA4YjNhNTRiN2VmZTA0ZWUifQ=="/>
  </w:docVars>
  <w:rsids>
    <w:rsidRoot w:val="45700A8B"/>
    <w:rsid w:val="000A4C24"/>
    <w:rsid w:val="000B0730"/>
    <w:rsid w:val="000D10E0"/>
    <w:rsid w:val="000F0940"/>
    <w:rsid w:val="00107674"/>
    <w:rsid w:val="001500C6"/>
    <w:rsid w:val="00191331"/>
    <w:rsid w:val="0019390F"/>
    <w:rsid w:val="00196276"/>
    <w:rsid w:val="001D4ACC"/>
    <w:rsid w:val="00206B0A"/>
    <w:rsid w:val="00215110"/>
    <w:rsid w:val="002359F9"/>
    <w:rsid w:val="0033374E"/>
    <w:rsid w:val="0038392D"/>
    <w:rsid w:val="003D2878"/>
    <w:rsid w:val="004105DF"/>
    <w:rsid w:val="004261B1"/>
    <w:rsid w:val="004318B2"/>
    <w:rsid w:val="004934DC"/>
    <w:rsid w:val="004A5BE4"/>
    <w:rsid w:val="004A6081"/>
    <w:rsid w:val="004F2F76"/>
    <w:rsid w:val="005116AF"/>
    <w:rsid w:val="00523178"/>
    <w:rsid w:val="00530B83"/>
    <w:rsid w:val="005E48E9"/>
    <w:rsid w:val="0062351F"/>
    <w:rsid w:val="00645387"/>
    <w:rsid w:val="00645EEE"/>
    <w:rsid w:val="00652808"/>
    <w:rsid w:val="00672C41"/>
    <w:rsid w:val="007B00BE"/>
    <w:rsid w:val="007F4669"/>
    <w:rsid w:val="00830B00"/>
    <w:rsid w:val="00840B63"/>
    <w:rsid w:val="00844B93"/>
    <w:rsid w:val="008547C8"/>
    <w:rsid w:val="008A1CE6"/>
    <w:rsid w:val="008A4C08"/>
    <w:rsid w:val="008E1516"/>
    <w:rsid w:val="009105A4"/>
    <w:rsid w:val="009237B4"/>
    <w:rsid w:val="00930FB1"/>
    <w:rsid w:val="0093695C"/>
    <w:rsid w:val="00960ED3"/>
    <w:rsid w:val="0098622F"/>
    <w:rsid w:val="009B13DA"/>
    <w:rsid w:val="009B52D4"/>
    <w:rsid w:val="00A4073F"/>
    <w:rsid w:val="00A44B40"/>
    <w:rsid w:val="00A45A05"/>
    <w:rsid w:val="00A6576E"/>
    <w:rsid w:val="00A86EAC"/>
    <w:rsid w:val="00AA666D"/>
    <w:rsid w:val="00B25169"/>
    <w:rsid w:val="00B4155D"/>
    <w:rsid w:val="00B5323F"/>
    <w:rsid w:val="00B85143"/>
    <w:rsid w:val="00BC63F9"/>
    <w:rsid w:val="00BD272A"/>
    <w:rsid w:val="00C22E64"/>
    <w:rsid w:val="00C5683B"/>
    <w:rsid w:val="00CB7E69"/>
    <w:rsid w:val="00CF0BAC"/>
    <w:rsid w:val="00D15069"/>
    <w:rsid w:val="00D23131"/>
    <w:rsid w:val="00D54F48"/>
    <w:rsid w:val="00DC4D48"/>
    <w:rsid w:val="00DD552B"/>
    <w:rsid w:val="00E32155"/>
    <w:rsid w:val="00EF6C6B"/>
    <w:rsid w:val="00F203BA"/>
    <w:rsid w:val="00F751E8"/>
    <w:rsid w:val="00FC3224"/>
    <w:rsid w:val="00FC7BA7"/>
    <w:rsid w:val="00FE1A3B"/>
    <w:rsid w:val="08E229A3"/>
    <w:rsid w:val="0F986468"/>
    <w:rsid w:val="14C7148A"/>
    <w:rsid w:val="1D86535D"/>
    <w:rsid w:val="26543976"/>
    <w:rsid w:val="35140154"/>
    <w:rsid w:val="382864EA"/>
    <w:rsid w:val="42F766DE"/>
    <w:rsid w:val="45700A8B"/>
    <w:rsid w:val="45D47DAF"/>
    <w:rsid w:val="4BBC4D7B"/>
    <w:rsid w:val="4D1D4BE2"/>
    <w:rsid w:val="4D311761"/>
    <w:rsid w:val="4E390435"/>
    <w:rsid w:val="51E00916"/>
    <w:rsid w:val="54DB78CE"/>
    <w:rsid w:val="55373706"/>
    <w:rsid w:val="56D2733D"/>
    <w:rsid w:val="59DD1FF7"/>
    <w:rsid w:val="5B042A99"/>
    <w:rsid w:val="69873AE1"/>
    <w:rsid w:val="6A1838D3"/>
    <w:rsid w:val="72544FCA"/>
    <w:rsid w:val="73B90B82"/>
    <w:rsid w:val="74961EFA"/>
    <w:rsid w:val="76BE4117"/>
    <w:rsid w:val="778F6692"/>
    <w:rsid w:val="7808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2"/>
    <w:qFormat/>
    <w:uiPriority w:val="0"/>
    <w:pPr>
      <w:adjustRightInd/>
      <w:spacing w:line="240" w:lineRule="auto"/>
    </w:pPr>
    <w:rPr>
      <w:rFonts w:ascii="Times New Roman" w:hAnsi="Times New Roman"/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1">
    <w:name w:val="标准文件_附录标识"/>
    <w:next w:val="12"/>
    <w:qFormat/>
    <w:uiPriority w:val="0"/>
    <w:pPr>
      <w:numPr>
        <w:ilvl w:val="0"/>
        <w:numId w:val="1"/>
      </w:numPr>
      <w:shd w:val="clear" w:color="FFFFFF" w:fill="FFFFFF"/>
      <w:tabs>
        <w:tab w:val="left" w:pos="6406"/>
      </w:tabs>
      <w:spacing w:before="25" w:beforeLines="25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段"/>
    <w:link w:val="2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">
    <w:name w:val="标准文件_注："/>
    <w:next w:val="12"/>
    <w:qFormat/>
    <w:uiPriority w:val="0"/>
    <w:pPr>
      <w:widowControl w:val="0"/>
      <w:numPr>
        <w:ilvl w:val="0"/>
        <w:numId w:val="2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5">
    <w:name w:val="Table Paragraph"/>
    <w:basedOn w:val="1"/>
    <w:qFormat/>
    <w:uiPriority w:val="1"/>
    <w:pPr>
      <w:autoSpaceDE w:val="0"/>
      <w:autoSpaceDN w:val="0"/>
      <w:spacing w:before="122"/>
      <w:ind w:left="10"/>
      <w:jc w:val="left"/>
    </w:pPr>
    <w:rPr>
      <w:rFonts w:ascii="宋体" w:hAnsi="宋体" w:cs="宋体"/>
      <w:kern w:val="0"/>
      <w:sz w:val="22"/>
    </w:rPr>
  </w:style>
  <w:style w:type="character" w:customStyle="1" w:styleId="16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标准文件_二级无标题"/>
    <w:basedOn w:val="20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20">
    <w:name w:val="标准文件_二级条标题"/>
    <w:next w:val="12"/>
    <w:qFormat/>
    <w:uiPriority w:val="0"/>
    <w:pPr>
      <w:widowControl w:val="0"/>
      <w:numPr>
        <w:ilvl w:val="3"/>
        <w:numId w:val="3"/>
      </w:numPr>
      <w:spacing w:before="50" w:beforeLines="50" w:after="50" w:afterLines="50"/>
      <w:ind w:left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1">
    <w:name w:val="标准文件_字母编号列项（一级）"/>
    <w:qFormat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character" w:customStyle="1" w:styleId="23">
    <w:name w:val="段 Char"/>
    <w:link w:val="13"/>
    <w:qFormat/>
    <w:uiPriority w:val="0"/>
    <w:rPr>
      <w:rFonts w:ascii="宋体"/>
      <w:sz w:val="21"/>
    </w:rPr>
  </w:style>
  <w:style w:type="character" w:customStyle="1" w:styleId="24">
    <w:name w:val="批注框文本 字符1"/>
    <w:basedOn w:val="9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_x0003_...销." w:hAnsi="Times New Roman" w:eastAsia="宋体_x0003_...销." w:cs="宋体_x0003_...销."/>
      <w:color w:val="000000"/>
      <w:sz w:val="24"/>
      <w:szCs w:val="24"/>
      <w:lang w:val="en-US" w:eastAsia="zh-CN" w:bidi="ar-SA"/>
    </w:rPr>
  </w:style>
  <w:style w:type="paragraph" w:customStyle="1" w:styleId="26">
    <w:name w:val="正文内容"/>
    <w:basedOn w:val="1"/>
    <w:link w:val="27"/>
    <w:qFormat/>
    <w:uiPriority w:val="0"/>
    <w:pPr>
      <w:overflowPunct w:val="0"/>
      <w:adjustRightInd/>
      <w:spacing w:line="360" w:lineRule="auto"/>
      <w:ind w:firstLine="200" w:firstLineChars="200"/>
    </w:pPr>
    <w:rPr>
      <w:rFonts w:ascii="Times New Roman" w:hAnsi="Times New Roman" w:cs="黑体"/>
      <w:sz w:val="24"/>
      <w:szCs w:val="28"/>
    </w:rPr>
  </w:style>
  <w:style w:type="character" w:customStyle="1" w:styleId="27">
    <w:name w:val="正文内容 Char Char"/>
    <w:link w:val="26"/>
    <w:qFormat/>
    <w:uiPriority w:val="0"/>
    <w:rPr>
      <w:rFonts w:cs="黑体"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2434</Words>
  <Characters>2645</Characters>
  <Lines>25</Lines>
  <Paragraphs>7</Paragraphs>
  <TotalTime>1</TotalTime>
  <ScaleCrop>false</ScaleCrop>
  <LinksUpToDate>false</LinksUpToDate>
  <CharactersWithSpaces>2649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2023-04-10T03:51:00Z</dcterms:created>
  <dc:creator>李洁</dc:creator>
  <cp:lastModifiedBy>不是兔子也不是小六</cp:lastModifiedBy>
  <dcterms:modified xsi:type="dcterms:W3CDTF">2024-10-30T02:49:14Z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EABCA34FD26049D89A0E16E3D71BDBD8_13</vt:lpwstr>
  </property>
</Properties>
</file>